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041</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41</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（二）地块位置：惠州市惠城区水口新民洛塘片区JD114-14地块；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（三）地块编号：JD114-14；</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（四）地块范围：平面界址点以宗地图为准，宗地竖向界限以《关于惠州市新民洛塘片区JD114-14地块内1608平方米用地规划要点的说明》（编号：</w:t>
      </w:r>
      <w:r>
        <w:rPr>
          <w:rFonts w:hint="default" w:ascii="仿宋_GB2312" w:hAnsi="仿宋_GB2312" w:eastAsia="仿宋_GB2312" w:cs="仿宋_GB2312"/>
          <w:sz w:val="32"/>
          <w:szCs w:val="32"/>
          <w:highlight w:val="none"/>
          <w:shd w:val="clear" w:color="auto" w:fill="auto"/>
          <w:lang w:val="en-US" w:eastAsia="zh-CN"/>
        </w:rPr>
        <w:t>惠市自然资函（惠城）〔2021〕123</w:t>
      </w:r>
      <w:r>
        <w:rPr>
          <w:rFonts w:hint="eastAsia" w:ascii="仿宋_GB2312" w:hAnsi="仿宋_GB2312" w:eastAsia="仿宋_GB2312" w:cs="仿宋_GB2312"/>
          <w:sz w:val="32"/>
          <w:szCs w:val="32"/>
          <w:highlight w:val="none"/>
          <w:shd w:val="clear" w:color="auto" w:fill="auto"/>
          <w:lang w:val="en-US" w:eastAsia="zh-CN"/>
        </w:rPr>
        <w:t>号）规定为准；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（五）宗地使用权面积为：1608平方米；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（六）计算指标用地面积为：1608平方米；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（七）计容积率建筑面积：2252-4020平方米；</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（八）容积率为：1.4-2.5%；</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（九）土地用途为：一类工业用地（兼容一类物流仓储用地）；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（十一）产业类型：食品加工用地；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 动工及竣工时间：该地块动工时间为地块交付之日起一年内，竣工时间为土地交付之日起三年内（因不可抗拒因素除外）；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（十三）本地块交付时间为《国有土地使用权出让合同》签订之日。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（一）</w:t>
      </w:r>
      <w:r>
        <w:rPr>
          <w:rFonts w:hint="eastAsia" w:ascii="仿宋_GB2312" w:hAnsi="仿宋_GB2312" w:eastAsia="仿宋_GB2312" w:cs="仿宋_GB2312"/>
          <w:sz w:val="32"/>
          <w:szCs w:val="32"/>
          <w:highlight w:val="none"/>
          <w:shd w:val="clear" w:color="auto" w:fill="auto"/>
          <w:lang w:eastAsia="zh-CN"/>
        </w:rPr>
        <w:t>开发投资总额不少于人民币</w:t>
      </w:r>
      <w:r>
        <w:rPr>
          <w:rFonts w:hint="eastAsia" w:ascii="仿宋_GB2312" w:hAnsi="仿宋_GB2312" w:eastAsia="仿宋_GB2312" w:cs="仿宋_GB2312"/>
          <w:sz w:val="32"/>
          <w:szCs w:val="32"/>
          <w:highlight w:val="none"/>
          <w:shd w:val="clear" w:color="auto" w:fill="auto"/>
          <w:lang w:val="en-US" w:eastAsia="zh-CN"/>
        </w:rPr>
        <w:t>1881万元</w:t>
      </w:r>
      <w:r>
        <w:rPr>
          <w:rFonts w:hint="eastAsia" w:ascii="仿宋_GB2312" w:hAnsi="仿宋_GB2312" w:eastAsia="仿宋_GB2312" w:cs="仿宋_GB2312"/>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（三）</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eastAsia="zh-CN"/>
        </w:rPr>
        <w:t>《关于惠州市新民洛塘片区JD114-14地块内1608平方米用地规划要点的说明》（编号：</w:t>
      </w:r>
      <w:r>
        <w:rPr>
          <w:rFonts w:hint="default" w:ascii="仿宋_GB2312" w:hAnsi="仿宋_GB2312" w:eastAsia="仿宋_GB2312" w:cs="仿宋_GB2312"/>
          <w:sz w:val="32"/>
          <w:szCs w:val="32"/>
          <w:lang w:val="en-US" w:eastAsia="zh-CN"/>
        </w:rPr>
        <w:t>惠市自然资函（惠城）〔2021〕123</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仿宋_GB2312" w:eastAsia="仿宋_GB2312" w:cs="仿宋_GB2312"/>
          <w:sz w:val="32"/>
          <w:szCs w:val="32"/>
          <w:highlight w:val="none"/>
          <w:shd w:val="clear" w:color="auto" w:fill="auto"/>
          <w:lang w:eastAsia="zh-CN"/>
        </w:rPr>
        <w:t>。</w:t>
      </w:r>
    </w:p>
    <w:p>
      <w:pPr>
        <w:pStyle w:val="2"/>
        <w:keepNext w:val="0"/>
        <w:keepLines w:val="0"/>
        <w:pageBreakBefore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（四）招商条件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资强度不低于</w:t>
      </w:r>
      <w:r>
        <w:rPr>
          <w:rFonts w:hint="eastAsia" w:ascii="仿宋_GB2312" w:hAnsi="宋体" w:eastAsia="仿宋_GB2312" w:cs="宋体"/>
          <w:kern w:val="0"/>
          <w:sz w:val="32"/>
          <w:szCs w:val="32"/>
          <w:lang w:val="en-US" w:eastAsia="zh-CN"/>
        </w:rPr>
        <w:t>11693元</w:t>
      </w:r>
      <w:r>
        <w:rPr>
          <w:rFonts w:hint="eastAsia" w:ascii="仿宋_GB2312" w:hAnsi="宋体" w:eastAsia="仿宋_GB2312" w:cs="宋体"/>
          <w:kern w:val="0"/>
          <w:sz w:val="32"/>
          <w:szCs w:val="32"/>
          <w:lang w:eastAsia="zh-CN"/>
        </w:rPr>
        <w:t>/平方米，土地产出率（营业收入）不低于</w:t>
      </w:r>
      <w:r>
        <w:rPr>
          <w:rFonts w:hint="eastAsia" w:ascii="仿宋_GB2312" w:hAnsi="宋体" w:eastAsia="仿宋_GB2312" w:cs="宋体"/>
          <w:kern w:val="0"/>
          <w:sz w:val="32"/>
          <w:szCs w:val="32"/>
          <w:lang w:val="en-US" w:eastAsia="zh-CN"/>
        </w:rPr>
        <w:t>9997</w:t>
      </w:r>
      <w:r>
        <w:rPr>
          <w:rFonts w:hint="eastAsia" w:ascii="仿宋_GB2312" w:hAnsi="宋体" w:eastAsia="仿宋_GB2312" w:cs="宋体"/>
          <w:kern w:val="0"/>
          <w:sz w:val="32"/>
          <w:szCs w:val="32"/>
          <w:lang w:eastAsia="zh-CN"/>
        </w:rPr>
        <w:t>元/平方米/年，税收产出不低于</w:t>
      </w:r>
      <w:r>
        <w:rPr>
          <w:rFonts w:hint="eastAsia" w:ascii="仿宋_GB2312" w:hAnsi="宋体" w:eastAsia="仿宋_GB2312" w:cs="宋体"/>
          <w:kern w:val="0"/>
          <w:sz w:val="32"/>
          <w:szCs w:val="32"/>
          <w:lang w:val="en-US" w:eastAsia="zh-CN"/>
        </w:rPr>
        <w:t>600</w:t>
      </w:r>
      <w:r>
        <w:rPr>
          <w:rFonts w:hint="eastAsia" w:ascii="仿宋_GB2312" w:hAnsi="宋体" w:eastAsia="仿宋_GB2312" w:cs="宋体"/>
          <w:kern w:val="0"/>
          <w:sz w:val="32"/>
          <w:szCs w:val="32"/>
          <w:lang w:eastAsia="zh-CN"/>
        </w:rPr>
        <w:t>元/平方米/年。其中，土地产出率及税收产出，在项目投产后</w:t>
      </w:r>
      <w:r>
        <w:rPr>
          <w:rFonts w:hint="eastAsia" w:ascii="仿宋_GB2312" w:hAnsi="宋体" w:eastAsia="仿宋_GB2312" w:cs="宋体"/>
          <w:kern w:val="0"/>
          <w:sz w:val="32"/>
          <w:szCs w:val="32"/>
          <w:lang w:val="en-US" w:eastAsia="zh-CN"/>
        </w:rPr>
        <w:t>3年内逐年</w:t>
      </w:r>
      <w:r>
        <w:rPr>
          <w:rFonts w:hint="eastAsia" w:ascii="仿宋_GB2312" w:hAnsi="宋体" w:eastAsia="仿宋_GB2312" w:cs="宋体"/>
          <w:kern w:val="0"/>
          <w:sz w:val="32"/>
          <w:szCs w:val="32"/>
          <w:lang w:eastAsia="zh-CN"/>
        </w:rPr>
        <w:t>考核，</w:t>
      </w:r>
      <w:r>
        <w:rPr>
          <w:rFonts w:hint="eastAsia" w:ascii="仿宋_GB2312" w:hAnsi="宋体" w:eastAsia="仿宋_GB2312" w:cs="宋体"/>
          <w:kern w:val="0"/>
          <w:sz w:val="32"/>
          <w:szCs w:val="32"/>
          <w:lang w:val="en-US" w:eastAsia="zh-CN"/>
        </w:rPr>
        <w:t>3年内的</w:t>
      </w:r>
      <w:r>
        <w:rPr>
          <w:rFonts w:hint="eastAsia" w:ascii="仿宋_GB2312" w:hAnsi="宋体" w:eastAsia="仿宋_GB2312" w:cs="宋体"/>
          <w:kern w:val="0"/>
          <w:sz w:val="32"/>
          <w:szCs w:val="32"/>
          <w:lang w:eastAsia="zh-CN"/>
        </w:rPr>
        <w:t>平均值不得低于上述标准。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仿宋_GB2312" w:eastAsia="仿宋_GB2312" w:cs="仿宋_GB2312"/>
          <w:sz w:val="32"/>
          <w:szCs w:val="32"/>
          <w:lang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w:t>
      </w:r>
      <w:r>
        <w:rPr>
          <w:rFonts w:hint="eastAsia" w:ascii="仿宋_GB2312" w:hAnsi="宋体" w:eastAsia="仿宋_GB2312" w:cs="宋体"/>
          <w:color w:val="auto"/>
          <w:kern w:val="0"/>
          <w:sz w:val="32"/>
          <w:szCs w:val="32"/>
        </w:rPr>
        <w:t>须</w:t>
      </w:r>
      <w:r>
        <w:rPr>
          <w:rFonts w:hint="eastAsia" w:ascii="仿宋_GB2312" w:hAnsi="宋体" w:eastAsia="仿宋_GB2312" w:cs="宋体"/>
          <w:color w:val="auto"/>
          <w:kern w:val="0"/>
          <w:sz w:val="32"/>
          <w:szCs w:val="32"/>
          <w:lang w:val="en-US" w:eastAsia="zh-CN"/>
        </w:rPr>
        <w:t>向自然资源部门申请，经</w:t>
      </w:r>
      <w:r>
        <w:rPr>
          <w:rFonts w:hint="eastAsia" w:ascii="仿宋_GB2312" w:hAnsi="宋体" w:eastAsia="仿宋_GB2312" w:cs="宋体"/>
          <w:color w:val="auto"/>
          <w:kern w:val="0"/>
          <w:sz w:val="32"/>
          <w:szCs w:val="32"/>
        </w:rPr>
        <w:t>惠城区人民政府</w:t>
      </w:r>
      <w:r>
        <w:rPr>
          <w:rFonts w:hint="eastAsia" w:ascii="仿宋_GB2312" w:hAnsi="宋体" w:eastAsia="仿宋_GB2312" w:cs="宋体"/>
          <w:color w:val="auto"/>
          <w:kern w:val="0"/>
          <w:sz w:val="32"/>
          <w:szCs w:val="32"/>
          <w:lang w:val="en-US" w:eastAsia="zh-CN"/>
        </w:rPr>
        <w:t>备案</w:t>
      </w:r>
      <w:r>
        <w:rPr>
          <w:rFonts w:hint="eastAsia" w:ascii="仿宋_GB2312" w:hAnsi="宋体" w:eastAsia="仿宋_GB2312" w:cs="宋体"/>
          <w:color w:val="auto"/>
          <w:kern w:val="0"/>
          <w:sz w:val="32"/>
          <w:szCs w:val="32"/>
        </w:rPr>
        <w:t>同意</w:t>
      </w:r>
      <w:r>
        <w:rPr>
          <w:rFonts w:hint="eastAsia" w:ascii="仿宋_GB2312" w:hAnsi="仿宋_GB2312" w:eastAsia="仿宋_GB2312" w:cs="仿宋_GB2312"/>
          <w:sz w:val="32"/>
          <w:szCs w:val="32"/>
          <w:lang w:eastAsia="zh-CN"/>
        </w:rPr>
        <w:t>，并符合惠城区产业发展方向及项目入区审核标准。本宗地交付乙方后,</w:t>
      </w:r>
      <w:r>
        <w:rPr>
          <w:rFonts w:hint="eastAsia" w:ascii="仿宋_GB2312" w:hAnsi="宋体" w:eastAsia="仿宋_GB2312" w:cs="宋体"/>
          <w:kern w:val="0"/>
          <w:sz w:val="32"/>
          <w:szCs w:val="32"/>
          <w:lang w:eastAsia="zh-CN"/>
        </w:rPr>
        <w:t>乙方须向</w:t>
      </w:r>
      <w:r>
        <w:rPr>
          <w:rFonts w:hint="eastAsia" w:ascii="仿宋_GB2312" w:hAnsi="宋体" w:eastAsia="仿宋_GB2312" w:cs="宋体"/>
          <w:kern w:val="0"/>
          <w:sz w:val="32"/>
          <w:szCs w:val="32"/>
          <w:lang w:val="en-US" w:eastAsia="zh-CN"/>
        </w:rPr>
        <w:t>惠州市</w:t>
      </w:r>
      <w:r>
        <w:rPr>
          <w:rFonts w:hint="eastAsia" w:ascii="仿宋_GB2312" w:hAnsi="宋体" w:eastAsia="仿宋_GB2312" w:cs="宋体"/>
          <w:kern w:val="0"/>
          <w:sz w:val="32"/>
          <w:szCs w:val="32"/>
          <w:lang w:eastAsia="zh-CN"/>
        </w:rPr>
        <w:t>惠城区</w:t>
      </w:r>
      <w:r>
        <w:rPr>
          <w:rFonts w:hint="eastAsia" w:ascii="仿宋_GB2312" w:hAnsi="宋体" w:eastAsia="仿宋_GB2312" w:cs="宋体"/>
          <w:kern w:val="0"/>
          <w:sz w:val="32"/>
          <w:szCs w:val="32"/>
          <w:lang w:val="en-US" w:eastAsia="zh-CN"/>
        </w:rPr>
        <w:t>水口街道办事处</w:t>
      </w:r>
      <w:r>
        <w:rPr>
          <w:rFonts w:hint="eastAsia" w:ascii="仿宋_GB2312" w:hAnsi="宋体" w:eastAsia="仿宋_GB2312" w:cs="宋体"/>
          <w:kern w:val="0"/>
          <w:sz w:val="32"/>
          <w:szCs w:val="32"/>
          <w:lang w:eastAsia="zh-CN"/>
        </w:rPr>
        <w:t>提交项目投资计划书和时间安排表，并按月向</w:t>
      </w:r>
      <w:r>
        <w:rPr>
          <w:rFonts w:hint="eastAsia" w:ascii="仿宋_GB2312" w:hAnsi="宋体" w:eastAsia="仿宋_GB2312" w:cs="宋体"/>
          <w:kern w:val="0"/>
          <w:sz w:val="32"/>
          <w:szCs w:val="32"/>
          <w:lang w:val="en-US" w:eastAsia="zh-CN"/>
        </w:rPr>
        <w:t>惠州市</w:t>
      </w:r>
      <w:r>
        <w:rPr>
          <w:rFonts w:hint="eastAsia" w:ascii="仿宋_GB2312" w:hAnsi="宋体" w:eastAsia="仿宋_GB2312" w:cs="宋体"/>
          <w:kern w:val="0"/>
          <w:sz w:val="32"/>
          <w:szCs w:val="32"/>
          <w:lang w:eastAsia="zh-CN"/>
        </w:rPr>
        <w:t>惠城区</w:t>
      </w:r>
      <w:r>
        <w:rPr>
          <w:rFonts w:hint="eastAsia" w:ascii="仿宋_GB2312" w:hAnsi="宋体" w:eastAsia="仿宋_GB2312" w:cs="宋体"/>
          <w:kern w:val="0"/>
          <w:sz w:val="32"/>
          <w:szCs w:val="32"/>
          <w:lang w:val="en-US" w:eastAsia="zh-CN"/>
        </w:rPr>
        <w:t>水口街道办事处</w:t>
      </w:r>
      <w:r>
        <w:rPr>
          <w:rFonts w:hint="eastAsia" w:ascii="仿宋_GB2312" w:hAnsi="宋体" w:eastAsia="仿宋_GB2312" w:cs="宋体"/>
          <w:kern w:val="0"/>
          <w:sz w:val="32"/>
          <w:szCs w:val="32"/>
          <w:lang w:eastAsia="zh-CN"/>
        </w:rPr>
        <w:t>书面报告项目进展情况，直至项目投产。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宋体" w:eastAsia="仿宋_GB2312" w:cs="宋体"/>
          <w:kern w:val="0"/>
          <w:sz w:val="32"/>
          <w:szCs w:val="32"/>
          <w:lang w:eastAsia="zh-CN"/>
        </w:rPr>
        <w:t>竞得人需与</w:t>
      </w:r>
      <w:r>
        <w:rPr>
          <w:rFonts w:hint="eastAsia" w:ascii="仿宋_GB2312" w:hAnsi="宋体" w:eastAsia="仿宋_GB2312" w:cs="宋体"/>
          <w:kern w:val="0"/>
          <w:sz w:val="32"/>
          <w:szCs w:val="32"/>
          <w:lang w:val="en-US" w:eastAsia="zh-CN"/>
        </w:rPr>
        <w:t>惠州市</w:t>
      </w:r>
      <w:r>
        <w:rPr>
          <w:rFonts w:hint="eastAsia" w:ascii="仿宋_GB2312" w:hAnsi="宋体" w:eastAsia="仿宋_GB2312" w:cs="宋体"/>
          <w:kern w:val="0"/>
          <w:sz w:val="32"/>
          <w:szCs w:val="32"/>
          <w:lang w:eastAsia="zh-CN"/>
        </w:rPr>
        <w:t>惠城区</w:t>
      </w:r>
      <w:r>
        <w:rPr>
          <w:rFonts w:hint="eastAsia" w:ascii="仿宋_GB2312" w:hAnsi="宋体" w:eastAsia="仿宋_GB2312" w:cs="宋体"/>
          <w:kern w:val="0"/>
          <w:sz w:val="32"/>
          <w:szCs w:val="32"/>
          <w:lang w:val="en-US" w:eastAsia="zh-CN"/>
        </w:rPr>
        <w:t>人民政府水口街道办事处</w:t>
      </w:r>
      <w:r>
        <w:rPr>
          <w:rFonts w:hint="eastAsia" w:ascii="仿宋_GB2312" w:hAnsi="宋体" w:eastAsia="仿宋_GB2312" w:cs="宋体"/>
          <w:kern w:val="0"/>
          <w:sz w:val="32"/>
          <w:szCs w:val="32"/>
          <w:lang w:eastAsia="zh-CN"/>
        </w:rPr>
        <w:t>签订《项目</w:t>
      </w:r>
      <w:r>
        <w:rPr>
          <w:rFonts w:hint="eastAsia" w:ascii="仿宋_GB2312" w:hAnsi="宋体" w:eastAsia="仿宋_GB2312" w:cs="宋体"/>
          <w:kern w:val="0"/>
          <w:sz w:val="32"/>
          <w:szCs w:val="32"/>
          <w:lang w:val="en-US" w:eastAsia="zh-CN"/>
        </w:rPr>
        <w:t>实施</w:t>
      </w:r>
      <w:r>
        <w:rPr>
          <w:rFonts w:hint="eastAsia" w:ascii="仿宋_GB2312" w:hAnsi="宋体" w:eastAsia="仿宋_GB2312" w:cs="宋体"/>
          <w:kern w:val="0"/>
          <w:sz w:val="32"/>
          <w:szCs w:val="32"/>
          <w:lang w:eastAsia="zh-CN"/>
        </w:rPr>
        <w:t>监管协议书》并完成监管协议公证手续。</w:t>
      </w:r>
    </w:p>
    <w:p>
      <w:pPr>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kern w:val="2"/>
          <w:sz w:val="32"/>
          <w:szCs w:val="32"/>
          <w:highlight w:val="none"/>
          <w:shd w:val="clear" w:color="auto" w:fill="auto"/>
          <w:lang w:val="en-US" w:eastAsia="zh-CN" w:bidi="ar-SA"/>
        </w:rPr>
        <w:t>（五）</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宋体" w:eastAsia="仿宋_GB2312" w:cs="宋体"/>
          <w:kern w:val="0"/>
          <w:sz w:val="32"/>
          <w:szCs w:val="32"/>
          <w:lang w:val="en-US" w:eastAsia="zh-CN"/>
        </w:rPr>
        <w:t>惠州市</w:t>
      </w:r>
      <w:r>
        <w:rPr>
          <w:rFonts w:hint="eastAsia" w:ascii="仿宋_GB2312" w:hAnsi="宋体" w:eastAsia="仿宋_GB2312" w:cs="宋体"/>
          <w:kern w:val="0"/>
          <w:sz w:val="32"/>
          <w:szCs w:val="32"/>
          <w:lang w:eastAsia="zh-CN"/>
        </w:rPr>
        <w:t>惠城区</w:t>
      </w:r>
      <w:r>
        <w:rPr>
          <w:rFonts w:hint="eastAsia" w:ascii="仿宋_GB2312" w:hAnsi="宋体" w:eastAsia="仿宋_GB2312" w:cs="宋体"/>
          <w:kern w:val="0"/>
          <w:sz w:val="32"/>
          <w:szCs w:val="32"/>
          <w:lang w:val="en-US" w:eastAsia="zh-CN"/>
        </w:rPr>
        <w:t>人民政府水口街道办事处</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宋体" w:eastAsia="仿宋_GB2312" w:cs="宋体"/>
          <w:kern w:val="0"/>
          <w:sz w:val="32"/>
          <w:szCs w:val="32"/>
          <w:lang w:val="en-US" w:eastAsia="zh-CN"/>
        </w:rPr>
        <w:t>惠州市</w:t>
      </w:r>
      <w:r>
        <w:rPr>
          <w:rFonts w:hint="eastAsia" w:ascii="仿宋_GB2312" w:hAnsi="宋体" w:eastAsia="仿宋_GB2312" w:cs="宋体"/>
          <w:kern w:val="0"/>
          <w:sz w:val="32"/>
          <w:szCs w:val="32"/>
          <w:lang w:eastAsia="zh-CN"/>
        </w:rPr>
        <w:t>惠城区</w:t>
      </w:r>
      <w:r>
        <w:rPr>
          <w:rFonts w:hint="eastAsia" w:ascii="仿宋_GB2312" w:hAnsi="宋体" w:eastAsia="仿宋_GB2312" w:cs="宋体"/>
          <w:kern w:val="0"/>
          <w:sz w:val="32"/>
          <w:szCs w:val="32"/>
          <w:lang w:val="en-US" w:eastAsia="zh-CN"/>
        </w:rPr>
        <w:t>人民政府水口街道办事处</w:t>
      </w:r>
      <w:r>
        <w:rPr>
          <w:rFonts w:hint="eastAsia" w:ascii="仿宋_GB2312" w:hAnsi="仿宋_GB2312" w:eastAsia="仿宋_GB2312" w:cs="仿宋_GB2312"/>
          <w:color w:val="auto"/>
          <w:sz w:val="32"/>
          <w:szCs w:val="32"/>
        </w:rPr>
        <w:t>对项目用地实施批后监管</w:t>
      </w:r>
      <w:r>
        <w:rPr>
          <w:rFonts w:hint="eastAsia" w:ascii="仿宋_GB2312" w:hAnsi="宋体" w:eastAsia="仿宋_GB2312" w:cs="宋体"/>
          <w:color w:val="auto"/>
          <w:kern w:val="0"/>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numPr>
          <w:ilvl w:val="0"/>
          <w:numId w:val="0"/>
        </w:num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57</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kern w:val="0"/>
          <w:sz w:val="32"/>
          <w:szCs w:val="32"/>
          <w:highlight w:val="none"/>
          <w:shd w:val="clear" w:color="auto" w:fill="auto"/>
        </w:rPr>
        <w:t>。</w:t>
      </w:r>
    </w:p>
    <w:p>
      <w:pPr>
        <w:pStyle w:val="2"/>
        <w:numPr>
          <w:ilvl w:val="0"/>
          <w:numId w:val="0"/>
        </w:numPr>
        <w:ind w:firstLine="640" w:firstLineChars="200"/>
      </w:pPr>
      <w:r>
        <w:rPr>
          <w:rFonts w:hint="eastAsia" w:ascii="仿宋_GB2312" w:hAnsi="仿宋_GB2312" w:eastAsia="仿宋_GB2312" w:cs="仿宋_GB2312"/>
          <w:kern w:val="0"/>
          <w:sz w:val="32"/>
          <w:szCs w:val="32"/>
          <w:highlight w:val="none"/>
          <w:shd w:val="clear" w:color="auto" w:fill="auto"/>
          <w:lang w:val="en-US" w:eastAsia="zh-CN"/>
        </w:rPr>
        <w:t>（二）竞买人须提交惠城区发改局出具的与该宗地块产业类型一致的优先发展产业项目文件。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w:t>
      </w:r>
      <w:r>
        <w:rPr>
          <w:rFonts w:hint="eastAsia" w:ascii="仿宋_GB2312" w:hAnsi="仿宋_GB2312" w:eastAsia="仿宋_GB2312" w:cs="仿宋_GB2312"/>
          <w:kern w:val="0"/>
          <w:sz w:val="32"/>
          <w:szCs w:val="32"/>
          <w:highlight w:val="none"/>
          <w:shd w:val="clear" w:color="auto" w:fill="auto"/>
          <w:lang w:val="en-US" w:eastAsia="zh-CN"/>
        </w:rPr>
        <w:t xml:space="preserve"> </w:t>
      </w: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w:t>
      </w:r>
      <w:r>
        <w:rPr>
          <w:rFonts w:hint="eastAsia" w:ascii="仿宋_GB2312" w:hAnsi="仿宋_GB2312" w:eastAsia="仿宋_GB2312" w:cs="仿宋_GB2312"/>
          <w:sz w:val="32"/>
          <w:szCs w:val="32"/>
          <w:highlight w:val="none"/>
          <w:shd w:val="clear" w:color="auto" w:fill="auto"/>
        </w:rPr>
        <w:t>上挂牌出让只能在互联网上，通过惠州市公共资源交易中心土地与矿业网上挂牌交易系统（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ascii="仿宋_GB2312" w:hAnsi="仿宋_GB2312" w:eastAsia="仿宋_GB2312" w:cs="仿宋_GB2312"/>
          <w:sz w:val="32"/>
          <w:szCs w:val="32"/>
          <w:highlight w:val="none"/>
          <w:shd w:val="clear" w:color="auto" w:fill="auto"/>
        </w:rPr>
        <w:t>（</w:t>
      </w:r>
      <w:r>
        <w:rPr>
          <w:rFonts w:hint="eastAsia" w:hAnsi="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eastAsia" w:hAnsi="仿宋_GB2312" w:cs="仿宋_GB2312"/>
          <w:szCs w:val="32"/>
          <w:lang w:val="en-US" w:eastAsia="zh-CN"/>
        </w:rPr>
      </w:pPr>
      <w:r>
        <w:rPr>
          <w:rFonts w:hint="eastAsia" w:hAnsi="仿宋_GB2312" w:cs="仿宋_GB231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hAnsi="仿宋_GB2312" w:cs="仿宋_GB2312"/>
          <w:szCs w:val="32"/>
          <w:lang w:val="en-US" w:eastAsia="zh-CN"/>
        </w:rPr>
        <w:t> 5、至报名日止仍拖欠政府地价款的。</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壹佰玖拾万</w:t>
      </w:r>
      <w:r>
        <w:rPr>
          <w:rFonts w:hint="eastAsia" w:ascii="仿宋_GB2312" w:hAnsi="仿宋_GB2312" w:eastAsia="仿宋_GB2312" w:cs="仿宋_GB2312"/>
          <w:color w:val="auto"/>
          <w:sz w:val="32"/>
          <w:szCs w:val="32"/>
          <w:highlight w:val="none"/>
          <w:u w:val="single"/>
          <w:shd w:val="clear" w:color="auto" w:fill="auto"/>
        </w:rPr>
        <w:t>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190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11月15</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29</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29</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lang w:eastAsia="zh-CN"/>
        </w:rPr>
        <w:t>《关于惠州市新民洛塘片区JD114-14地块内1608平方米用地规划要点的说明》（编号：</w:t>
      </w:r>
      <w:r>
        <w:rPr>
          <w:rFonts w:hint="default" w:ascii="仿宋_GB2312" w:hAnsi="仿宋_GB2312" w:eastAsia="仿宋_GB2312" w:cs="仿宋_GB2312"/>
          <w:sz w:val="32"/>
          <w:szCs w:val="32"/>
          <w:lang w:val="en-US" w:eastAsia="zh-CN"/>
        </w:rPr>
        <w:t>惠市自然资函（惠城）〔2021〕123</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29</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伍拾柒万元</w:t>
      </w:r>
      <w:r>
        <w:rPr>
          <w:rFonts w:hint="eastAsia" w:ascii="仿宋_GB2312" w:hAnsi="仿宋_GB2312" w:eastAsia="仿宋_GB2312" w:cs="仿宋_GB2312"/>
          <w:color w:val="auto"/>
          <w:sz w:val="32"/>
          <w:szCs w:val="32"/>
          <w:highlight w:val="none"/>
          <w:u w:val="single"/>
          <w:shd w:val="clear" w:color="auto" w:fill="auto"/>
        </w:rPr>
        <w:t>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57</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10、中国光大银行股份有限公司惠州分行。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11、</w:t>
      </w:r>
      <w:r>
        <w:rPr>
          <w:rFonts w:hint="eastAsia" w:ascii="仿宋_GB2312" w:hAnsi="仿宋_GB2312" w:eastAsia="仿宋_GB2312" w:cs="仿宋_GB2312"/>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提交惠城区发改局出具的与该宗地块产业类型一致的优先发展产业项目文件。</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3、经审查，符合</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b w:val="0"/>
          <w:bCs w:val="0"/>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宋体" w:eastAsia="仿宋_GB2312" w:cs="宋体"/>
          <w:color w:val="auto"/>
          <w:kern w:val="0"/>
          <w:sz w:val="32"/>
          <w:szCs w:val="32"/>
          <w:highlight w:val="none"/>
          <w:shd w:val="clear" w:color="auto" w:fill="auto"/>
        </w:rPr>
        <w:t>即新公司的股东必须100%是竞买申请企业作为法人的股东</w:t>
      </w:r>
      <w:r>
        <w:rPr>
          <w:rFonts w:hint="eastAsia" w:ascii="仿宋_GB2312" w:hAnsi="仿宋_GB2312" w:eastAsia="仿宋_GB2312" w:cs="仿宋_GB2312"/>
          <w:sz w:val="32"/>
          <w:szCs w:val="32"/>
          <w:highlight w:val="none"/>
          <w:shd w:val="clear" w:color="auto" w:fill="auto"/>
        </w:rPr>
        <w:t>。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numPr>
          <w:ilvl w:val="0"/>
          <w:numId w:val="1"/>
        </w:num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numPr>
          <w:ilvl w:val="0"/>
          <w:numId w:val="0"/>
        </w:num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shd w:val="clear"/>
        <w:rPr>
          <w:highlight w:val="none"/>
          <w:shd w:val="clear" w:color="auto" w:fill="auto"/>
        </w:rPr>
      </w:pPr>
    </w:p>
    <w:p>
      <w:pPr>
        <w:pStyle w:val="2"/>
        <w:shd w:val="clear"/>
        <w:rPr>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2021年10月2</w:t>
      </w:r>
      <w:bookmarkStart w:id="8" w:name="_GoBack"/>
      <w:bookmarkEnd w:id="8"/>
      <w:r>
        <w:rPr>
          <w:rFonts w:hint="eastAsia" w:ascii="仿宋_GB2312" w:hAnsi="仿宋_GB2312" w:eastAsia="仿宋_GB2312" w:cs="仿宋_GB2312"/>
          <w:color w:val="auto"/>
          <w:sz w:val="32"/>
          <w:szCs w:val="32"/>
          <w:highlight w:val="none"/>
          <w:shd w:val="clear" w:color="auto" w:fill="auto"/>
          <w:lang w:val="en-US" w:eastAsia="zh-CN"/>
        </w:rPr>
        <w:t>2日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214A8"/>
    <w:multiLevelType w:val="singleLevel"/>
    <w:tmpl w:val="944214A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0708B1"/>
    <w:rsid w:val="01B51C7D"/>
    <w:rsid w:val="031A11BD"/>
    <w:rsid w:val="042C6BAB"/>
    <w:rsid w:val="04BB2A35"/>
    <w:rsid w:val="04F7599A"/>
    <w:rsid w:val="05280DC9"/>
    <w:rsid w:val="054F511E"/>
    <w:rsid w:val="05616BEE"/>
    <w:rsid w:val="05AA6043"/>
    <w:rsid w:val="065D58C0"/>
    <w:rsid w:val="06E22DF8"/>
    <w:rsid w:val="071F73B3"/>
    <w:rsid w:val="077D5D24"/>
    <w:rsid w:val="07F629A0"/>
    <w:rsid w:val="08273751"/>
    <w:rsid w:val="091E26EA"/>
    <w:rsid w:val="09317644"/>
    <w:rsid w:val="0A812477"/>
    <w:rsid w:val="0ACC066B"/>
    <w:rsid w:val="0B1406EF"/>
    <w:rsid w:val="0C40433F"/>
    <w:rsid w:val="0C8642BF"/>
    <w:rsid w:val="0C9B2169"/>
    <w:rsid w:val="0DCB3B54"/>
    <w:rsid w:val="0DDE5C6D"/>
    <w:rsid w:val="0E0E76A0"/>
    <w:rsid w:val="0FB217AF"/>
    <w:rsid w:val="0FB2799E"/>
    <w:rsid w:val="10152918"/>
    <w:rsid w:val="105A2768"/>
    <w:rsid w:val="10A1573B"/>
    <w:rsid w:val="10B43BC1"/>
    <w:rsid w:val="11155026"/>
    <w:rsid w:val="111E117E"/>
    <w:rsid w:val="11A17A14"/>
    <w:rsid w:val="12295A9F"/>
    <w:rsid w:val="141106B3"/>
    <w:rsid w:val="14924D3E"/>
    <w:rsid w:val="15BB632B"/>
    <w:rsid w:val="15C4392F"/>
    <w:rsid w:val="15D340EA"/>
    <w:rsid w:val="16615977"/>
    <w:rsid w:val="168C318D"/>
    <w:rsid w:val="16AE6DA7"/>
    <w:rsid w:val="170F4C1C"/>
    <w:rsid w:val="18220C10"/>
    <w:rsid w:val="1960257D"/>
    <w:rsid w:val="19D941D6"/>
    <w:rsid w:val="19F36C6A"/>
    <w:rsid w:val="1C431BA6"/>
    <w:rsid w:val="1CB6407B"/>
    <w:rsid w:val="1DE56E00"/>
    <w:rsid w:val="1E4A3E3B"/>
    <w:rsid w:val="1E9B31A0"/>
    <w:rsid w:val="1ED73189"/>
    <w:rsid w:val="1F1E4268"/>
    <w:rsid w:val="20855E22"/>
    <w:rsid w:val="21587C67"/>
    <w:rsid w:val="22463965"/>
    <w:rsid w:val="2249566B"/>
    <w:rsid w:val="22661D8C"/>
    <w:rsid w:val="22DC01FC"/>
    <w:rsid w:val="23141DA3"/>
    <w:rsid w:val="247C6354"/>
    <w:rsid w:val="24F67853"/>
    <w:rsid w:val="256A5D13"/>
    <w:rsid w:val="259D34B7"/>
    <w:rsid w:val="25D63F7C"/>
    <w:rsid w:val="26391FD0"/>
    <w:rsid w:val="26741665"/>
    <w:rsid w:val="270B4267"/>
    <w:rsid w:val="272C05B0"/>
    <w:rsid w:val="282C1E6E"/>
    <w:rsid w:val="28D2352A"/>
    <w:rsid w:val="28ED736B"/>
    <w:rsid w:val="29220F8B"/>
    <w:rsid w:val="29DE5841"/>
    <w:rsid w:val="2A636D11"/>
    <w:rsid w:val="2AA45603"/>
    <w:rsid w:val="2AE43BE2"/>
    <w:rsid w:val="2B1A2077"/>
    <w:rsid w:val="2CA246FC"/>
    <w:rsid w:val="2CD752D7"/>
    <w:rsid w:val="2D027EED"/>
    <w:rsid w:val="2D2632FD"/>
    <w:rsid w:val="2DEB4267"/>
    <w:rsid w:val="2E9B6EAE"/>
    <w:rsid w:val="2F0337D6"/>
    <w:rsid w:val="2F944F64"/>
    <w:rsid w:val="2FA2409E"/>
    <w:rsid w:val="30AC5587"/>
    <w:rsid w:val="30DB33EE"/>
    <w:rsid w:val="313D23E2"/>
    <w:rsid w:val="31880862"/>
    <w:rsid w:val="31B60A9D"/>
    <w:rsid w:val="324E22EE"/>
    <w:rsid w:val="33A33367"/>
    <w:rsid w:val="33CE0AAA"/>
    <w:rsid w:val="34B40523"/>
    <w:rsid w:val="34C41D04"/>
    <w:rsid w:val="34CD617E"/>
    <w:rsid w:val="360B04FE"/>
    <w:rsid w:val="378C6660"/>
    <w:rsid w:val="37FB7A76"/>
    <w:rsid w:val="38DE5E51"/>
    <w:rsid w:val="390E539D"/>
    <w:rsid w:val="3A6628A9"/>
    <w:rsid w:val="3BE31771"/>
    <w:rsid w:val="3C4A4143"/>
    <w:rsid w:val="3C5E598F"/>
    <w:rsid w:val="3C8F0E4F"/>
    <w:rsid w:val="3CAD2EC5"/>
    <w:rsid w:val="3CB81CC8"/>
    <w:rsid w:val="3D322E34"/>
    <w:rsid w:val="3D34683B"/>
    <w:rsid w:val="3D5E1016"/>
    <w:rsid w:val="3DAA2FBD"/>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ED2701A"/>
    <w:rsid w:val="4F1E4BBE"/>
    <w:rsid w:val="4F3537ED"/>
    <w:rsid w:val="4F954D5E"/>
    <w:rsid w:val="4FFE1B2F"/>
    <w:rsid w:val="50D052D8"/>
    <w:rsid w:val="51467837"/>
    <w:rsid w:val="52132F5D"/>
    <w:rsid w:val="528F1625"/>
    <w:rsid w:val="52AA5DFE"/>
    <w:rsid w:val="533F6C66"/>
    <w:rsid w:val="544F17E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943765"/>
    <w:rsid w:val="5D006096"/>
    <w:rsid w:val="5D731ABE"/>
    <w:rsid w:val="5DB15592"/>
    <w:rsid w:val="5DF81F1B"/>
    <w:rsid w:val="5DFB50B1"/>
    <w:rsid w:val="5E2E0948"/>
    <w:rsid w:val="600D408B"/>
    <w:rsid w:val="610A5EBF"/>
    <w:rsid w:val="61245A3C"/>
    <w:rsid w:val="6178185B"/>
    <w:rsid w:val="617F00E3"/>
    <w:rsid w:val="61C04C47"/>
    <w:rsid w:val="61C170AA"/>
    <w:rsid w:val="61C71F9B"/>
    <w:rsid w:val="626D5569"/>
    <w:rsid w:val="62D03E81"/>
    <w:rsid w:val="62D41879"/>
    <w:rsid w:val="6398078D"/>
    <w:rsid w:val="641A28B3"/>
    <w:rsid w:val="64732F29"/>
    <w:rsid w:val="648A18F5"/>
    <w:rsid w:val="64C30585"/>
    <w:rsid w:val="651C53A6"/>
    <w:rsid w:val="656B5E9D"/>
    <w:rsid w:val="659D6FA9"/>
    <w:rsid w:val="65F2007E"/>
    <w:rsid w:val="664408E2"/>
    <w:rsid w:val="66C13377"/>
    <w:rsid w:val="66E36354"/>
    <w:rsid w:val="67927D39"/>
    <w:rsid w:val="68085778"/>
    <w:rsid w:val="688B43B5"/>
    <w:rsid w:val="68EE1292"/>
    <w:rsid w:val="69B07B1E"/>
    <w:rsid w:val="69E22ED5"/>
    <w:rsid w:val="6A15326A"/>
    <w:rsid w:val="6AA821A5"/>
    <w:rsid w:val="6B8A6BF3"/>
    <w:rsid w:val="6BFA1460"/>
    <w:rsid w:val="6C013F77"/>
    <w:rsid w:val="6C181FB4"/>
    <w:rsid w:val="6C197CDD"/>
    <w:rsid w:val="6C5A6DDE"/>
    <w:rsid w:val="6C611252"/>
    <w:rsid w:val="6CCC1A8E"/>
    <w:rsid w:val="6E1E50A4"/>
    <w:rsid w:val="6FCE2720"/>
    <w:rsid w:val="705B684C"/>
    <w:rsid w:val="714F5518"/>
    <w:rsid w:val="71AB46C8"/>
    <w:rsid w:val="74CC0B4E"/>
    <w:rsid w:val="74D35F13"/>
    <w:rsid w:val="755C76C8"/>
    <w:rsid w:val="75E43E25"/>
    <w:rsid w:val="76382CBE"/>
    <w:rsid w:val="76B47A3E"/>
    <w:rsid w:val="77A91566"/>
    <w:rsid w:val="77E167B8"/>
    <w:rsid w:val="78591F3E"/>
    <w:rsid w:val="78CA1EAE"/>
    <w:rsid w:val="792409A3"/>
    <w:rsid w:val="7A881483"/>
    <w:rsid w:val="7AE44F5D"/>
    <w:rsid w:val="7B3065F7"/>
    <w:rsid w:val="7B405936"/>
    <w:rsid w:val="7B4F2E9A"/>
    <w:rsid w:val="7B8363CD"/>
    <w:rsid w:val="7C8A682E"/>
    <w:rsid w:val="7D5207DE"/>
    <w:rsid w:val="7E29024A"/>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8</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2021-09-16T03:09:00Z</cp:lastPrinted>
  <dcterms:modified xsi:type="dcterms:W3CDTF">2021-10-22T08:55:46Z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